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107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9"/>
        <w:gridCol w:w="7228"/>
      </w:tblGrid>
      <w:tr w:rsidR="009040A0" w:rsidRPr="005D340B" w14:paraId="4C39C219" w14:textId="77777777" w:rsidTr="005D340B">
        <w:trPr>
          <w:trHeight w:hRule="exact" w:val="1162"/>
        </w:trPr>
        <w:tc>
          <w:tcPr>
            <w:tcW w:w="11077" w:type="dxa"/>
            <w:gridSpan w:val="2"/>
            <w:shd w:val="clear" w:color="auto" w:fill="auto"/>
          </w:tcPr>
          <w:p w14:paraId="5F334061" w14:textId="59F0D5A2" w:rsidR="009040A0" w:rsidRPr="005D340B" w:rsidRDefault="005D340B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pacing w:val="-2"/>
                <w:sz w:val="22"/>
                <w:szCs w:val="22"/>
                <w:u w:val="single"/>
              </w:rPr>
              <w:t xml:space="preserve">Odvody z hazardních her </w:t>
            </w:r>
            <w:proofErr w:type="gramStart"/>
            <w:r>
              <w:rPr>
                <w:rFonts w:ascii="Arial" w:eastAsia="Arial" w:hAnsi="Arial" w:cs="Arial"/>
                <w:b/>
                <w:spacing w:val="-2"/>
                <w:sz w:val="22"/>
                <w:szCs w:val="22"/>
                <w:u w:val="single"/>
              </w:rPr>
              <w:t>2012- 2025</w:t>
            </w:r>
            <w:proofErr w:type="gramEnd"/>
            <w:r>
              <w:rPr>
                <w:rFonts w:ascii="Arial" w:eastAsia="Arial" w:hAnsi="Arial" w:cs="Arial"/>
                <w:b/>
                <w:spacing w:val="-2"/>
                <w:sz w:val="22"/>
                <w:szCs w:val="22"/>
                <w:u w:val="single"/>
              </w:rPr>
              <w:t xml:space="preserve"> (64/25)</w:t>
            </w:r>
          </w:p>
        </w:tc>
      </w:tr>
      <w:tr w:rsidR="009040A0" w:rsidRPr="005D340B" w14:paraId="4372D1C9" w14:textId="77777777" w:rsidTr="005D340B">
        <w:trPr>
          <w:trHeight w:hRule="exact" w:val="954"/>
        </w:trPr>
        <w:tc>
          <w:tcPr>
            <w:tcW w:w="3849" w:type="dxa"/>
            <w:shd w:val="clear" w:color="auto" w:fill="auto"/>
          </w:tcPr>
          <w:p w14:paraId="099ABEF1" w14:textId="77777777" w:rsidR="009040A0" w:rsidRPr="005D340B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5D340B">
              <w:rPr>
                <w:rFonts w:ascii="Arial" w:eastAsia="Arial" w:hAnsi="Arial" w:cs="Arial"/>
                <w:b/>
                <w:spacing w:val="-2"/>
                <w:sz w:val="22"/>
                <w:szCs w:val="22"/>
                <w:u w:val="single"/>
              </w:rPr>
              <w:t>Žádost:</w:t>
            </w:r>
          </w:p>
        </w:tc>
        <w:tc>
          <w:tcPr>
            <w:tcW w:w="7228" w:type="dxa"/>
          </w:tcPr>
          <w:p w14:paraId="109BC8CB" w14:textId="77777777" w:rsidR="009040A0" w:rsidRPr="005D340B" w:rsidRDefault="009040A0">
            <w:pPr>
              <w:rPr>
                <w:sz w:val="22"/>
                <w:szCs w:val="22"/>
              </w:rPr>
            </w:pPr>
          </w:p>
        </w:tc>
      </w:tr>
      <w:tr w:rsidR="009040A0" w:rsidRPr="005D340B" w14:paraId="4F136CDF" w14:textId="77777777" w:rsidTr="005D340B">
        <w:trPr>
          <w:trHeight w:hRule="exact" w:val="3815"/>
        </w:trPr>
        <w:tc>
          <w:tcPr>
            <w:tcW w:w="11077" w:type="dxa"/>
            <w:gridSpan w:val="2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0412D44F" w14:textId="77777777" w:rsidR="009040A0" w:rsidRPr="005D340B" w:rsidRDefault="009040A0">
            <w:pPr>
              <w:spacing w:line="16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</w:p>
          <w:p w14:paraId="61678242" w14:textId="77777777" w:rsidR="009040A0" w:rsidRPr="005D340B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5D340B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Žádám o poskytnutí následujících dat ve </w:t>
            </w:r>
            <w:r w:rsidRPr="005D340B">
              <w:rPr>
                <w:rFonts w:ascii="Arial" w:eastAsia="Arial" w:hAnsi="Arial" w:cs="Arial"/>
                <w:b/>
                <w:spacing w:val="-2"/>
                <w:sz w:val="22"/>
                <w:szCs w:val="22"/>
                <w:u w:val="single"/>
              </w:rPr>
              <w:t>čtvrtletní frekvenci</w:t>
            </w:r>
            <w:r w:rsidRPr="005D340B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 za období 2012–2024</w:t>
            </w:r>
          </w:p>
          <w:p w14:paraId="5AFD1A95" w14:textId="77777777" w:rsidR="009040A0" w:rsidRPr="005D340B" w:rsidRDefault="009040A0">
            <w:pPr>
              <w:spacing w:line="16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</w:p>
          <w:p w14:paraId="3AF1A297" w14:textId="77777777" w:rsidR="009040A0" w:rsidRPr="005D340B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5D340B">
              <w:rPr>
                <w:rFonts w:ascii="Arial" w:eastAsia="Arial" w:hAnsi="Arial" w:cs="Arial"/>
                <w:spacing w:val="-2"/>
                <w:sz w:val="22"/>
                <w:szCs w:val="22"/>
              </w:rPr>
              <w:t>      1.  Daňové výnosy z hazardních her rozdělené podle typu hry (zejména technické hry vs. ostatní),</w:t>
            </w:r>
          </w:p>
          <w:p w14:paraId="62F75A3D" w14:textId="77777777" w:rsidR="009040A0" w:rsidRPr="005D340B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5D340B">
              <w:rPr>
                <w:rFonts w:ascii="Arial" w:eastAsia="Arial" w:hAnsi="Arial" w:cs="Arial"/>
                <w:spacing w:val="-2"/>
                <w:sz w:val="22"/>
                <w:szCs w:val="22"/>
              </w:rPr>
              <w:t>      2.  Počet legálních provozoven (herny, kasina),</w:t>
            </w:r>
          </w:p>
          <w:p w14:paraId="464DB8C4" w14:textId="77777777" w:rsidR="009040A0" w:rsidRPr="005D340B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5D340B">
              <w:rPr>
                <w:rFonts w:ascii="Arial" w:eastAsia="Arial" w:hAnsi="Arial" w:cs="Arial"/>
                <w:spacing w:val="-2"/>
                <w:sz w:val="22"/>
                <w:szCs w:val="22"/>
              </w:rPr>
              <w:t>      3.  Počet technických herních zařízení (VHP, VLT).</w:t>
            </w:r>
          </w:p>
          <w:p w14:paraId="2EB6128B" w14:textId="77777777" w:rsidR="009040A0" w:rsidRPr="005D340B" w:rsidRDefault="009040A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</w:p>
          <w:p w14:paraId="19F22216" w14:textId="77777777" w:rsidR="009040A0" w:rsidRPr="005D340B" w:rsidRDefault="009040A0">
            <w:pPr>
              <w:spacing w:line="16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</w:p>
          <w:p w14:paraId="79125352" w14:textId="77777777" w:rsidR="009040A0" w:rsidRPr="005D340B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5D340B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Například zde: </w:t>
            </w:r>
            <w:r w:rsidRPr="005D340B">
              <w:rPr>
                <w:rFonts w:ascii="Arial" w:eastAsia="Arial" w:hAnsi="Arial" w:cs="Arial"/>
                <w:color w:val="0000FF"/>
                <w:spacing w:val="-2"/>
                <w:sz w:val="22"/>
                <w:szCs w:val="22"/>
              </w:rPr>
              <w:t>https://financnisprava.gov.cz/cs/dane/dane/dan-z-hazardnich-her/vysledky-provozovani-hazardnich-her</w:t>
            </w:r>
            <w:r w:rsidRPr="005D340B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 jsou data na daňovou výnosnost dostupná, rozdělená dle </w:t>
            </w:r>
            <w:r w:rsidRPr="005D340B">
              <w:rPr>
                <w:rFonts w:ascii="Arial" w:eastAsia="Arial" w:hAnsi="Arial" w:cs="Arial"/>
                <w:b/>
                <w:spacing w:val="-2"/>
                <w:sz w:val="22"/>
                <w:szCs w:val="22"/>
              </w:rPr>
              <w:t>typu hry</w:t>
            </w:r>
            <w:r w:rsidRPr="005D340B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, </w:t>
            </w:r>
            <w:r w:rsidRPr="005D340B">
              <w:rPr>
                <w:rFonts w:ascii="Arial" w:eastAsia="Arial" w:hAnsi="Arial" w:cs="Arial"/>
                <w:b/>
                <w:spacing w:val="-2"/>
                <w:sz w:val="22"/>
                <w:szCs w:val="22"/>
              </w:rPr>
              <w:t>kvartálně</w:t>
            </w:r>
            <w:r w:rsidRPr="005D340B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 od roku 2019 do roku 2025.  </w:t>
            </w:r>
          </w:p>
        </w:tc>
      </w:tr>
      <w:tr w:rsidR="009040A0" w:rsidRPr="005D340B" w14:paraId="1601B84D" w14:textId="77777777" w:rsidTr="005D340B">
        <w:trPr>
          <w:trHeight w:hRule="exact" w:val="954"/>
        </w:trPr>
        <w:tc>
          <w:tcPr>
            <w:tcW w:w="3849" w:type="dxa"/>
            <w:shd w:val="clear" w:color="auto" w:fill="auto"/>
          </w:tcPr>
          <w:p w14:paraId="65C9A568" w14:textId="77777777" w:rsidR="009040A0" w:rsidRPr="005D340B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5D340B">
              <w:rPr>
                <w:rFonts w:ascii="Arial" w:eastAsia="Arial" w:hAnsi="Arial" w:cs="Arial"/>
                <w:b/>
                <w:spacing w:val="-2"/>
                <w:sz w:val="22"/>
                <w:szCs w:val="22"/>
                <w:u w:val="single"/>
              </w:rPr>
              <w:t>Odpověď:</w:t>
            </w:r>
          </w:p>
        </w:tc>
        <w:tc>
          <w:tcPr>
            <w:tcW w:w="7228" w:type="dxa"/>
          </w:tcPr>
          <w:p w14:paraId="03DB7AC6" w14:textId="77777777" w:rsidR="009040A0" w:rsidRPr="005D340B" w:rsidRDefault="009040A0">
            <w:pPr>
              <w:rPr>
                <w:sz w:val="22"/>
                <w:szCs w:val="22"/>
              </w:rPr>
            </w:pPr>
          </w:p>
        </w:tc>
      </w:tr>
      <w:tr w:rsidR="009040A0" w:rsidRPr="005D340B" w14:paraId="1A092CE7" w14:textId="77777777" w:rsidTr="005D340B">
        <w:trPr>
          <w:trHeight w:hRule="exact" w:val="3665"/>
        </w:trPr>
        <w:tc>
          <w:tcPr>
            <w:tcW w:w="11077" w:type="dxa"/>
            <w:gridSpan w:val="2"/>
            <w:vMerge w:val="restart"/>
            <w:shd w:val="clear" w:color="auto" w:fill="auto"/>
            <w:tcMar>
              <w:left w:w="72" w:type="dxa"/>
              <w:right w:w="72" w:type="dxa"/>
            </w:tcMar>
          </w:tcPr>
          <w:p w14:paraId="5EF3C549" w14:textId="77777777" w:rsidR="009040A0" w:rsidRPr="005D340B" w:rsidRDefault="009040A0">
            <w:pPr>
              <w:spacing w:line="16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</w:p>
          <w:p w14:paraId="48E4628D" w14:textId="7517AFB6" w:rsidR="009040A0" w:rsidRPr="005D340B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5D340B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Povinný subjekt Vaši žádost posoudil a přílohou Vám poskytuje soubory: „Tabulka se souhrnnými údaji k dani z hazardních her za rok 2018“, „Tabulka se souhrnnými údaji k dani z hazardních her za rok 2017“, které doplňují data na webové stránce zde: </w:t>
            </w:r>
            <w:hyperlink r:id="rId4" w:history="1">
              <w:r w:rsidR="005D340B" w:rsidRPr="004F0FE5">
                <w:rPr>
                  <w:rStyle w:val="Hypertextovodkaz"/>
                  <w:rFonts w:ascii="Arial" w:eastAsiaTheme="minorHAnsi" w:hAnsi="Arial" w:cs="Arial"/>
                  <w:sz w:val="22"/>
                  <w:szCs w:val="22"/>
                </w:rPr>
                <w:t>https://financnisprava.gov.cz/cs/dane/dane/dan-z-hazardnich-her/vysledky-provozovani-hazardnich-her</w:t>
              </w:r>
            </w:hyperlink>
            <w:r w:rsidRPr="005D340B">
              <w:rPr>
                <w:rFonts w:ascii="Arial" w:eastAsia="Arial" w:hAnsi="Arial" w:cs="Arial"/>
                <w:spacing w:val="-2"/>
                <w:sz w:val="22"/>
                <w:szCs w:val="22"/>
              </w:rPr>
              <w:t>. Informace o odvodech v letech 2012 až 2016 jsou obsaženy v souborech „Odvod 2012-2015“ a „Odvod 2016“.</w:t>
            </w:r>
          </w:p>
          <w:p w14:paraId="7CA59DAD" w14:textId="77777777" w:rsidR="009040A0" w:rsidRPr="005D340B" w:rsidRDefault="009040A0">
            <w:pPr>
              <w:spacing w:line="16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</w:p>
          <w:p w14:paraId="789EE99C" w14:textId="77777777" w:rsidR="009040A0" w:rsidRPr="005D340B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5D340B">
              <w:rPr>
                <w:rFonts w:ascii="Arial" w:eastAsia="Arial" w:hAnsi="Arial" w:cs="Arial"/>
                <w:spacing w:val="-2"/>
                <w:sz w:val="22"/>
                <w:szCs w:val="22"/>
              </w:rPr>
              <w:t>Připomínáme, že podle § 41e zák. č. 202/1990 Sb., o loteriích a jiných podobných hrách, je odvodovým obdobím kalendářní rok. Zatímco podle § 6 zák. č. 187/2016 Sb., o dani z hazardních her, je zdaňovacím obdobím kalendářní čtvrtletí.</w:t>
            </w:r>
          </w:p>
          <w:p w14:paraId="0374F7F1" w14:textId="77777777" w:rsidR="009040A0" w:rsidRPr="005D340B" w:rsidRDefault="009040A0">
            <w:pPr>
              <w:spacing w:line="16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</w:p>
          <w:p w14:paraId="39588C2D" w14:textId="3D05C531" w:rsidR="009040A0" w:rsidRPr="005D340B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5D340B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Je nutno zdůraznit, že udělovat povolení je v gesci Ministerstva financí, které taktéž zveřejňuje statistické údaje. Počty povolených technických zařízení a také počty provozoven za období 2017 až 2025 jsou zveřejněny na jeho webu, a to zde: </w:t>
            </w:r>
            <w:hyperlink r:id="rId5" w:history="1">
              <w:r w:rsidR="005D340B" w:rsidRPr="006C55E9">
                <w:rPr>
                  <w:rStyle w:val="Hypertextovodkaz"/>
                  <w:rFonts w:ascii="Arial" w:eastAsia="Arial" w:hAnsi="Arial" w:cs="Arial"/>
                  <w:spacing w:val="-2"/>
                  <w:sz w:val="22"/>
                  <w:szCs w:val="22"/>
                </w:rPr>
                <w:t>https://www.mfcr.cz/cs/kontrola-a-regulace/hazardni-hry/prehledy-a-statistiky/prehledy-hazardnich-her-dle-zhh/2025</w:t>
              </w:r>
            </w:hyperlink>
            <w:r w:rsidRPr="005D340B">
              <w:rPr>
                <w:rFonts w:ascii="Arial" w:eastAsia="Arial" w:hAnsi="Arial" w:cs="Arial"/>
                <w:spacing w:val="-2"/>
                <w:sz w:val="22"/>
                <w:szCs w:val="22"/>
              </w:rPr>
              <w:t>.</w:t>
            </w:r>
          </w:p>
          <w:p w14:paraId="150679F6" w14:textId="77777777" w:rsidR="009040A0" w:rsidRPr="005D340B" w:rsidRDefault="009040A0">
            <w:pPr>
              <w:spacing w:line="16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</w:p>
          <w:p w14:paraId="34817D27" w14:textId="7237DA82" w:rsidR="009040A0" w:rsidRPr="005D340B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5D340B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Počty technických zařízení povolených ještě podle zákona o loteriích jsou dostupné od roku 2013 taktéž na webu Ministerstva financí, a to zde: </w:t>
            </w:r>
            <w:hyperlink r:id="rId6" w:history="1">
              <w:r w:rsidR="005D340B" w:rsidRPr="006C55E9">
                <w:rPr>
                  <w:rStyle w:val="Hypertextovodkaz"/>
                  <w:rFonts w:ascii="Arial" w:eastAsia="Arial" w:hAnsi="Arial" w:cs="Arial"/>
                  <w:spacing w:val="-2"/>
                  <w:sz w:val="22"/>
                  <w:szCs w:val="22"/>
                </w:rPr>
                <w:t>https://www.mfcr.cz/cs/kontrola-a-regulace/hazardni-hry/prehledy-a-statistiky/prehledy-technickych-hernich-zarizeni-he</w:t>
              </w:r>
            </w:hyperlink>
            <w:r w:rsidRPr="005D340B">
              <w:rPr>
                <w:rFonts w:ascii="Arial" w:eastAsia="Arial" w:hAnsi="Arial" w:cs="Arial"/>
                <w:spacing w:val="-2"/>
                <w:sz w:val="22"/>
                <w:szCs w:val="22"/>
              </w:rPr>
              <w:t>.</w:t>
            </w:r>
          </w:p>
          <w:p w14:paraId="66AB1024" w14:textId="77777777" w:rsidR="009040A0" w:rsidRPr="005D340B" w:rsidRDefault="009040A0">
            <w:pPr>
              <w:spacing w:line="16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</w:p>
          <w:p w14:paraId="4B972026" w14:textId="11C4EB21" w:rsidR="009040A0" w:rsidRPr="005D340B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5D340B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Archivní údaje k období 2012 až 2016 pak naleznete zde: </w:t>
            </w:r>
            <w:hyperlink r:id="rId7" w:history="1">
              <w:r w:rsidR="005D340B" w:rsidRPr="006C55E9">
                <w:rPr>
                  <w:rStyle w:val="Hypertextovodkaz"/>
                  <w:rFonts w:ascii="Arial" w:eastAsia="Arial" w:hAnsi="Arial" w:cs="Arial"/>
                  <w:spacing w:val="-2"/>
                  <w:sz w:val="22"/>
                  <w:szCs w:val="22"/>
                </w:rPr>
                <w:t>https://www.mfcr.cz/cs/kontrola-a-regulace/hazardni-hry/archiv-zakon-c-202-1990-sb</w:t>
              </w:r>
            </w:hyperlink>
            <w:r w:rsidRPr="005D340B">
              <w:rPr>
                <w:rFonts w:ascii="Arial" w:eastAsia="Arial" w:hAnsi="Arial" w:cs="Arial"/>
                <w:spacing w:val="-2"/>
                <w:sz w:val="22"/>
                <w:szCs w:val="22"/>
              </w:rPr>
              <w:t>.</w:t>
            </w:r>
          </w:p>
          <w:p w14:paraId="7FB9414B" w14:textId="77777777" w:rsidR="009040A0" w:rsidRPr="005D340B" w:rsidRDefault="009040A0">
            <w:pPr>
              <w:spacing w:line="16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</w:p>
          <w:p w14:paraId="010AE53E" w14:textId="77777777" w:rsidR="009040A0" w:rsidRPr="005D340B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5D340B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V souboru „Počty herních pozic“ jsou sumární údaje získané z podaných přiznání k dani z hazardních her z let 2017 až 2025. V tomto případě se jedná o maximální počet hráčů na herních zařízeních.  </w:t>
            </w:r>
          </w:p>
        </w:tc>
      </w:tr>
      <w:tr w:rsidR="009040A0" w:rsidRPr="005D340B" w14:paraId="1009EA71" w14:textId="77777777" w:rsidTr="005D340B">
        <w:trPr>
          <w:trHeight w:hRule="exact" w:val="3636"/>
        </w:trPr>
        <w:tc>
          <w:tcPr>
            <w:tcW w:w="11077" w:type="dxa"/>
            <w:gridSpan w:val="2"/>
            <w:vMerge/>
            <w:shd w:val="clear" w:color="auto" w:fill="auto"/>
          </w:tcPr>
          <w:p w14:paraId="6D0C684B" w14:textId="77777777" w:rsidR="009040A0" w:rsidRPr="005D340B" w:rsidRDefault="009040A0">
            <w:pPr>
              <w:rPr>
                <w:sz w:val="22"/>
                <w:szCs w:val="22"/>
              </w:rPr>
            </w:pPr>
          </w:p>
        </w:tc>
      </w:tr>
    </w:tbl>
    <w:p w14:paraId="48F90D03" w14:textId="77777777" w:rsidR="002A37E2" w:rsidRPr="005D340B" w:rsidRDefault="002A37E2">
      <w:pPr>
        <w:rPr>
          <w:sz w:val="22"/>
          <w:szCs w:val="22"/>
        </w:rPr>
      </w:pPr>
    </w:p>
    <w:sectPr w:rsidR="002A37E2" w:rsidRPr="005D340B">
      <w:pgSz w:w="11906" w:h="16838"/>
      <w:pgMar w:top="567" w:right="567" w:bottom="517" w:left="567" w:header="226" w:footer="206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40A0"/>
    <w:rsid w:val="002A37E2"/>
    <w:rsid w:val="005D340B"/>
    <w:rsid w:val="009040A0"/>
    <w:rsid w:val="00CA2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CC6623"/>
  <w15:docId w15:val="{04D008E8-54C0-4BDF-8D52-8DD4A21CD8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cs-CZ" w:eastAsia="cs-CZ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pacing w:after="0" w:line="240" w:lineRule="auto"/>
    </w:pPr>
    <w:rPr>
      <w:sz w:val="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unhideWhenUsed/>
    <w:rsid w:val="005D340B"/>
    <w:rPr>
      <w:color w:val="467886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5D340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mfcr.cz/cs/kontrola-a-regulace/hazardni-hry/archiv-zakon-c-202-1990-sb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mfcr.cz/cs/kontrola-a-regulace/hazardni-hry/prehledy-a-statistiky/prehledy-technickych-hernich-zarizeni-he" TargetMode="External"/><Relationship Id="rId5" Type="http://schemas.openxmlformats.org/officeDocument/2006/relationships/hyperlink" Target="https://www.mfcr.cz/cs/kontrola-a-regulace/hazardni-hry/prehledy-a-statistiky/prehledy-hazardnich-her-dle-zhh/2025" TargetMode="External"/><Relationship Id="rId4" Type="http://schemas.openxmlformats.org/officeDocument/2006/relationships/hyperlink" Target="https://financnisprava.gov.cz/cs/dane/dane/dan-z-hazardnich-her/vysledky-provozovani-hazardnich-her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393</Words>
  <Characters>2319</Characters>
  <Application>Microsoft Office Word</Application>
  <DocSecurity>0</DocSecurity>
  <Lines>19</Lines>
  <Paragraphs>5</Paragraphs>
  <ScaleCrop>false</ScaleCrop>
  <Company>Stimulsoft Reports.JS 2024.2.6 from 2024.05.20</Company>
  <LinksUpToDate>false</LinksUpToDate>
  <CharactersWithSpaces>2707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</dc:title>
  <dc:subject>Report</dc:subject>
  <dc:creator>Bloudková Kateřina Mgr. (GFŘ)</dc:creator>
  <cp:keywords/>
  <dc:description/>
  <cp:lastModifiedBy>Bloudková Kateřina Mgr. (GFŘ)</cp:lastModifiedBy>
  <cp:revision>2</cp:revision>
  <dcterms:created xsi:type="dcterms:W3CDTF">2025-07-25T09:30:00Z</dcterms:created>
  <dcterms:modified xsi:type="dcterms:W3CDTF">2025-07-25T09:30:00Z</dcterms:modified>
  <cp:contentStatus>Netscape * Mozilla/5.0 (Windows NT 10.0; Win64; x64) AppleWebKit/537.36 (KHTML, like Gecko) Chrome/138.0.0.0 Safari/537.36 Edg/138.0.0.0</cp:contentStatus>
</cp:coreProperties>
</file>